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F2782">
      <w:pPr>
        <w:keepNext w:val="0"/>
        <w:keepLines w:val="0"/>
        <w:pageBreakBefore w:val="0"/>
        <w:widowControl w:val="0"/>
        <w:kinsoku/>
        <w:wordWrap/>
        <w:overflowPunct/>
        <w:topLinePunct w:val="0"/>
        <w:autoSpaceDE/>
        <w:autoSpaceDN/>
        <w:bidi w:val="0"/>
        <w:adjustRightInd/>
        <w:snapToGrid/>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14:paraId="6C34DFBF">
      <w:pPr>
        <w:keepNext w:val="0"/>
        <w:keepLines w:val="0"/>
        <w:pageBreakBefore w:val="0"/>
        <w:widowControl w:val="0"/>
        <w:kinsoku/>
        <w:wordWrap/>
        <w:overflowPunct/>
        <w:topLinePunct w:val="0"/>
        <w:autoSpaceDE/>
        <w:autoSpaceDN/>
        <w:bidi w:val="0"/>
        <w:adjustRightInd/>
        <w:snapToGrid/>
        <w:jc w:val="center"/>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房屋概况及交易条件</w:t>
      </w:r>
    </w:p>
    <w:tbl>
      <w:tblPr>
        <w:tblStyle w:val="2"/>
        <w:tblW w:w="906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506"/>
        <w:gridCol w:w="1033"/>
        <w:gridCol w:w="11"/>
        <w:gridCol w:w="1117"/>
        <w:gridCol w:w="334"/>
        <w:gridCol w:w="1801"/>
        <w:gridCol w:w="1579"/>
        <w:gridCol w:w="2475"/>
        <w:gridCol w:w="194"/>
        <w:gridCol w:w="17"/>
      </w:tblGrid>
      <w:tr w14:paraId="46387C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2"/>
          <w:wAfter w:w="211" w:type="dxa"/>
        </w:trPr>
        <w:tc>
          <w:tcPr>
            <w:tcW w:w="506"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BAC1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房屋概况</w:t>
            </w:r>
          </w:p>
        </w:tc>
        <w:tc>
          <w:tcPr>
            <w:tcW w:w="2495" w:type="dxa"/>
            <w:gridSpan w:val="4"/>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A6179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房屋地址</w:t>
            </w:r>
          </w:p>
        </w:tc>
        <w:tc>
          <w:tcPr>
            <w:tcW w:w="585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C41A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南京市六合区经济开发区环龙池湖路</w:t>
            </w:r>
            <w:r>
              <w:rPr>
                <w:rFonts w:hint="eastAsia" w:ascii="方正仿宋_GBK" w:hAnsi="方正仿宋_GBK" w:eastAsia="方正仿宋_GBK" w:cs="方正仿宋_GBK"/>
                <w:sz w:val="24"/>
                <w:szCs w:val="24"/>
                <w:lang w:val="en-US" w:eastAsia="zh-CN"/>
              </w:rPr>
              <w:t>9号</w:t>
            </w:r>
          </w:p>
        </w:tc>
      </w:tr>
      <w:tr w14:paraId="248844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2"/>
          <w:wAfter w:w="211" w:type="dxa"/>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5648B12">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aps w:val="0"/>
                <w:color w:val="333333"/>
                <w:spacing w:val="0"/>
                <w:sz w:val="24"/>
                <w:szCs w:val="24"/>
              </w:rPr>
            </w:pPr>
          </w:p>
        </w:tc>
        <w:tc>
          <w:tcPr>
            <w:tcW w:w="1033"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65A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基本属性</w:t>
            </w:r>
          </w:p>
        </w:tc>
        <w:tc>
          <w:tcPr>
            <w:tcW w:w="1462"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DE32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房屋类型</w:t>
            </w:r>
          </w:p>
        </w:tc>
        <w:tc>
          <w:tcPr>
            <w:tcW w:w="585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994F4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文体娱乐用地/文化活动中心</w:t>
            </w:r>
          </w:p>
        </w:tc>
      </w:tr>
      <w:tr w14:paraId="3A08A7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2"/>
          <w:wAfter w:w="211" w:type="dxa"/>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E5F02B">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aps w:val="0"/>
                <w:color w:val="333333"/>
                <w:spacing w:val="0"/>
                <w:sz w:val="24"/>
                <w:szCs w:val="24"/>
              </w:rPr>
            </w:pPr>
          </w:p>
        </w:tc>
        <w:tc>
          <w:tcPr>
            <w:tcW w:w="1033"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81CE7A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i w:val="0"/>
                <w:iCs w:val="0"/>
                <w:caps w:val="0"/>
                <w:color w:val="333333"/>
                <w:spacing w:val="0"/>
                <w:sz w:val="24"/>
                <w:szCs w:val="24"/>
              </w:rPr>
            </w:pPr>
          </w:p>
        </w:tc>
        <w:tc>
          <w:tcPr>
            <w:tcW w:w="1462"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EC81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租赁面积（m²）</w:t>
            </w:r>
          </w:p>
        </w:tc>
        <w:tc>
          <w:tcPr>
            <w:tcW w:w="585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9BC2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1967.38m²</w:t>
            </w:r>
          </w:p>
        </w:tc>
      </w:tr>
      <w:tr w14:paraId="149E9D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2"/>
          <w:wAfter w:w="211" w:type="dxa"/>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68D25B">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aps w:val="0"/>
                <w:color w:val="333333"/>
                <w:spacing w:val="0"/>
                <w:sz w:val="24"/>
                <w:szCs w:val="24"/>
              </w:rPr>
            </w:pPr>
          </w:p>
        </w:tc>
        <w:tc>
          <w:tcPr>
            <w:tcW w:w="1033"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4410C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i w:val="0"/>
                <w:iCs w:val="0"/>
                <w:caps w:val="0"/>
                <w:color w:val="333333"/>
                <w:spacing w:val="0"/>
                <w:sz w:val="24"/>
                <w:szCs w:val="24"/>
              </w:rPr>
            </w:pPr>
          </w:p>
        </w:tc>
        <w:tc>
          <w:tcPr>
            <w:tcW w:w="1462"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D3FD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租赁期限（年）</w:t>
            </w:r>
          </w:p>
        </w:tc>
        <w:tc>
          <w:tcPr>
            <w:tcW w:w="18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B69AA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面谈</w:t>
            </w:r>
          </w:p>
        </w:tc>
        <w:tc>
          <w:tcPr>
            <w:tcW w:w="157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5098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租金递增方式</w:t>
            </w:r>
          </w:p>
        </w:tc>
        <w:tc>
          <w:tcPr>
            <w:tcW w:w="24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E607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超过1年，按比例递增</w:t>
            </w:r>
          </w:p>
        </w:tc>
      </w:tr>
      <w:tr w14:paraId="2F23D4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2"/>
          <w:wAfter w:w="211" w:type="dxa"/>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5C06D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aps w:val="0"/>
                <w:color w:val="333333"/>
                <w:spacing w:val="0"/>
                <w:sz w:val="24"/>
                <w:szCs w:val="24"/>
              </w:rPr>
            </w:pPr>
          </w:p>
        </w:tc>
        <w:tc>
          <w:tcPr>
            <w:tcW w:w="1033"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91C91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i w:val="0"/>
                <w:iCs w:val="0"/>
                <w:caps w:val="0"/>
                <w:color w:val="333333"/>
                <w:spacing w:val="0"/>
                <w:sz w:val="24"/>
                <w:szCs w:val="24"/>
              </w:rPr>
            </w:pPr>
          </w:p>
        </w:tc>
        <w:tc>
          <w:tcPr>
            <w:tcW w:w="1462"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4E2C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装修期限</w:t>
            </w:r>
          </w:p>
        </w:tc>
        <w:tc>
          <w:tcPr>
            <w:tcW w:w="18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21F71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根据实际情况协商</w:t>
            </w:r>
          </w:p>
        </w:tc>
        <w:tc>
          <w:tcPr>
            <w:tcW w:w="157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7104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承租押金（元）</w:t>
            </w:r>
          </w:p>
        </w:tc>
        <w:tc>
          <w:tcPr>
            <w:tcW w:w="24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A98D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i w:val="0"/>
                <w:iCs w:val="0"/>
                <w:caps w:val="0"/>
                <w:color w:val="333333"/>
                <w:spacing w:val="0"/>
                <w:kern w:val="0"/>
                <w:sz w:val="24"/>
                <w:szCs w:val="24"/>
                <w:lang w:val="en-US" w:eastAsia="zh-CN" w:bidi="ar"/>
              </w:rPr>
              <w:t>面谈，不低于一个月租金</w:t>
            </w:r>
          </w:p>
        </w:tc>
      </w:tr>
      <w:tr w14:paraId="020254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2"/>
          <w:wAfter w:w="211" w:type="dxa"/>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8BFFDF6">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aps w:val="0"/>
                <w:color w:val="333333"/>
                <w:spacing w:val="0"/>
                <w:sz w:val="24"/>
                <w:szCs w:val="24"/>
              </w:rPr>
            </w:pPr>
          </w:p>
        </w:tc>
        <w:tc>
          <w:tcPr>
            <w:tcW w:w="1033"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E364A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房屋现状</w:t>
            </w:r>
          </w:p>
        </w:tc>
        <w:tc>
          <w:tcPr>
            <w:tcW w:w="1462"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13FE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房屋状态</w:t>
            </w:r>
          </w:p>
        </w:tc>
        <w:tc>
          <w:tcPr>
            <w:tcW w:w="18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6086E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空置</w:t>
            </w:r>
          </w:p>
        </w:tc>
        <w:tc>
          <w:tcPr>
            <w:tcW w:w="157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E3D6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是否设置原承租人优先权</w:t>
            </w:r>
          </w:p>
        </w:tc>
        <w:tc>
          <w:tcPr>
            <w:tcW w:w="24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B5BC9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是</w:t>
            </w:r>
          </w:p>
        </w:tc>
      </w:tr>
      <w:tr w14:paraId="4EE789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2"/>
          <w:wAfter w:w="211" w:type="dxa"/>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1F5F478">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aps w:val="0"/>
                <w:color w:val="333333"/>
                <w:spacing w:val="0"/>
                <w:sz w:val="24"/>
                <w:szCs w:val="24"/>
              </w:rPr>
            </w:pPr>
          </w:p>
        </w:tc>
        <w:tc>
          <w:tcPr>
            <w:tcW w:w="1033"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C8D001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i w:val="0"/>
                <w:iCs w:val="0"/>
                <w:caps w:val="0"/>
                <w:color w:val="333333"/>
                <w:spacing w:val="0"/>
                <w:sz w:val="24"/>
                <w:szCs w:val="24"/>
              </w:rPr>
            </w:pPr>
          </w:p>
        </w:tc>
        <w:tc>
          <w:tcPr>
            <w:tcW w:w="1462"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0E810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配套、环境、交通、亮点</w:t>
            </w:r>
          </w:p>
        </w:tc>
        <w:tc>
          <w:tcPr>
            <w:tcW w:w="585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BD37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位于六合经济开发区，交通便利，与六合大道、宁连公路（G205）、沪陕高速、S8号地铁（龙池站）相连接互通，多元交通体系组合形成便捷的可达性交通优势。</w:t>
            </w:r>
          </w:p>
        </w:tc>
      </w:tr>
      <w:tr w14:paraId="6E64A5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2"/>
          <w:wAfter w:w="211" w:type="dxa"/>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DC3C532">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aps w:val="0"/>
                <w:color w:val="333333"/>
                <w:spacing w:val="0"/>
                <w:sz w:val="24"/>
                <w:szCs w:val="24"/>
              </w:rPr>
            </w:pPr>
          </w:p>
        </w:tc>
        <w:tc>
          <w:tcPr>
            <w:tcW w:w="1033"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82182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评估情况</w:t>
            </w:r>
          </w:p>
        </w:tc>
        <w:tc>
          <w:tcPr>
            <w:tcW w:w="1462"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9E3B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iCs w:val="0"/>
                <w:caps w:val="0"/>
                <w:color w:val="333333"/>
                <w:spacing w:val="0"/>
                <w:kern w:val="0"/>
                <w:sz w:val="24"/>
                <w:szCs w:val="24"/>
                <w:lang w:val="en-US" w:eastAsia="zh-CN" w:bidi="ar"/>
              </w:rPr>
              <w:t>评估基准日</w:t>
            </w:r>
          </w:p>
        </w:tc>
        <w:tc>
          <w:tcPr>
            <w:tcW w:w="585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02BA1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iCs w:val="0"/>
                <w:caps w:val="0"/>
                <w:color w:val="333333"/>
                <w:spacing w:val="0"/>
                <w:kern w:val="0"/>
                <w:sz w:val="24"/>
                <w:szCs w:val="24"/>
                <w:lang w:val="en-US" w:eastAsia="zh-CN" w:bidi="ar"/>
              </w:rPr>
              <w:t>2024年8月30日</w:t>
            </w:r>
          </w:p>
        </w:tc>
      </w:tr>
      <w:tr w14:paraId="2BCDC9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2"/>
          <w:wAfter w:w="211" w:type="dxa"/>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D07FB7">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aps w:val="0"/>
                <w:color w:val="333333"/>
                <w:spacing w:val="0"/>
                <w:sz w:val="24"/>
                <w:szCs w:val="24"/>
              </w:rPr>
            </w:pPr>
          </w:p>
        </w:tc>
        <w:tc>
          <w:tcPr>
            <w:tcW w:w="1033"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0149C6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i w:val="0"/>
                <w:iCs w:val="0"/>
                <w:caps w:val="0"/>
                <w:color w:val="333333"/>
                <w:spacing w:val="0"/>
                <w:sz w:val="24"/>
                <w:szCs w:val="24"/>
              </w:rPr>
            </w:pPr>
          </w:p>
        </w:tc>
        <w:tc>
          <w:tcPr>
            <w:tcW w:w="1462"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A4581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iCs w:val="0"/>
                <w:caps w:val="0"/>
                <w:color w:val="333333"/>
                <w:spacing w:val="0"/>
                <w:kern w:val="0"/>
                <w:sz w:val="24"/>
                <w:szCs w:val="24"/>
                <w:lang w:val="en-US" w:eastAsia="zh-CN" w:bidi="ar"/>
              </w:rPr>
              <w:t>评估机构</w:t>
            </w:r>
          </w:p>
        </w:tc>
        <w:tc>
          <w:tcPr>
            <w:tcW w:w="585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689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江苏天仁房地产土地资产评估有限公司</w:t>
            </w:r>
          </w:p>
        </w:tc>
      </w:tr>
      <w:tr w14:paraId="65BA57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2"/>
          <w:wAfter w:w="211" w:type="dxa"/>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3C7772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aps w:val="0"/>
                <w:color w:val="333333"/>
                <w:spacing w:val="0"/>
                <w:sz w:val="24"/>
                <w:szCs w:val="24"/>
              </w:rPr>
            </w:pPr>
          </w:p>
        </w:tc>
        <w:tc>
          <w:tcPr>
            <w:tcW w:w="2495" w:type="dxa"/>
            <w:gridSpan w:val="4"/>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4395B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物业费（包含公共区域水电、保洁、安保）</w:t>
            </w:r>
          </w:p>
        </w:tc>
        <w:tc>
          <w:tcPr>
            <w:tcW w:w="585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8C51E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面谈</w:t>
            </w:r>
          </w:p>
        </w:tc>
      </w:tr>
      <w:tr w14:paraId="10CF64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2"/>
          <w:wAfter w:w="211" w:type="dxa"/>
        </w:trPr>
        <w:tc>
          <w:tcPr>
            <w:tcW w:w="506" w:type="dxa"/>
            <w:vMerge w:val="restart"/>
            <w:tcBorders>
              <w:top w:val="outset" w:color="auto" w:sz="6" w:space="0"/>
              <w:left w:val="outset" w:color="auto" w:sz="6" w:space="0"/>
              <w:right w:val="outset" w:color="auto" w:sz="6" w:space="0"/>
            </w:tcBorders>
            <w:shd w:val="clear" w:color="auto" w:fill="FFFFFF"/>
            <w:tcMar>
              <w:top w:w="0" w:type="dxa"/>
              <w:left w:w="0" w:type="dxa"/>
              <w:bottom w:w="0" w:type="dxa"/>
              <w:right w:w="0" w:type="dxa"/>
            </w:tcMar>
            <w:vAlign w:val="center"/>
          </w:tcPr>
          <w:p w14:paraId="1DD8DE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pPr>
            <w:r>
              <w:rPr>
                <w:rFonts w:hint="eastAsia" w:ascii="方正仿宋_GBK" w:hAnsi="方正仿宋_GBK" w:eastAsia="方正仿宋_GBK" w:cs="方正仿宋_GBK"/>
                <w:i w:val="0"/>
                <w:iCs w:val="0"/>
                <w:caps w:val="0"/>
                <w:color w:val="333333"/>
                <w:spacing w:val="0"/>
                <w:kern w:val="0"/>
                <w:sz w:val="24"/>
                <w:szCs w:val="24"/>
                <w:lang w:val="en-US" w:eastAsia="zh-CN" w:bidi="ar"/>
              </w:rPr>
              <w:t>交易条件</w:t>
            </w:r>
          </w:p>
        </w:tc>
        <w:tc>
          <w:tcPr>
            <w:tcW w:w="2495" w:type="dxa"/>
            <w:gridSpan w:val="4"/>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top"/>
          </w:tcPr>
          <w:p w14:paraId="055593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交易款支付方式</w:t>
            </w:r>
          </w:p>
        </w:tc>
        <w:tc>
          <w:tcPr>
            <w:tcW w:w="585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top"/>
          </w:tcPr>
          <w:p w14:paraId="4D8F1A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根据房屋租赁合同约定支付</w:t>
            </w:r>
          </w:p>
        </w:tc>
      </w:tr>
      <w:tr w14:paraId="465749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2"/>
          <w:wAfter w:w="211" w:type="dxa"/>
          <w:trHeight w:val="2055" w:hRule="atLeast"/>
        </w:trPr>
        <w:tc>
          <w:tcPr>
            <w:tcW w:w="506" w:type="dxa"/>
            <w:vMerge w:val="continue"/>
            <w:tcBorders>
              <w:left w:val="outset" w:color="auto" w:sz="6" w:space="0"/>
              <w:right w:val="outset" w:color="auto" w:sz="6" w:space="0"/>
            </w:tcBorders>
            <w:shd w:val="clear" w:color="auto" w:fill="FFFFFF"/>
            <w:tcMar>
              <w:top w:w="0" w:type="dxa"/>
              <w:left w:w="0" w:type="dxa"/>
              <w:bottom w:w="0" w:type="dxa"/>
              <w:right w:w="0" w:type="dxa"/>
            </w:tcMar>
            <w:vAlign w:val="center"/>
          </w:tcPr>
          <w:p w14:paraId="1CB64D8E">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Arial" w:hAnsi="Arial" w:cs="Arial"/>
                <w:i w:val="0"/>
                <w:iCs w:val="0"/>
                <w:caps w:val="0"/>
                <w:color w:val="333333"/>
                <w:spacing w:val="0"/>
                <w:sz w:val="24"/>
                <w:szCs w:val="24"/>
              </w:rPr>
            </w:pPr>
          </w:p>
        </w:tc>
        <w:tc>
          <w:tcPr>
            <w:tcW w:w="2495" w:type="dxa"/>
            <w:gridSpan w:val="4"/>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top"/>
          </w:tcPr>
          <w:p w14:paraId="12D037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承租方资格条件</w:t>
            </w:r>
          </w:p>
        </w:tc>
        <w:tc>
          <w:tcPr>
            <w:tcW w:w="585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top"/>
          </w:tcPr>
          <w:p w14:paraId="12273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一、意向承租方应具备的条件：无不良信用记录的企业法人（具有市场监督部门颁发的营业执照）。</w:t>
            </w:r>
          </w:p>
          <w:p w14:paraId="47E0B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二、意向承租方须承诺的事项</w:t>
            </w:r>
          </w:p>
          <w:p w14:paraId="6FB75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（一）具有良好的财务状况和支付能力；</w:t>
            </w:r>
          </w:p>
          <w:p w14:paraId="343C00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（二）参与本次招租不存在其他法律法规规定的禁止性情形。</w:t>
            </w:r>
          </w:p>
        </w:tc>
      </w:tr>
      <w:tr w14:paraId="3A12AA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2"/>
          <w:wAfter w:w="211" w:type="dxa"/>
          <w:trHeight w:val="4310" w:hRule="atLeast"/>
        </w:trPr>
        <w:tc>
          <w:tcPr>
            <w:tcW w:w="506" w:type="dxa"/>
            <w:vMerge w:val="continue"/>
            <w:tcBorders>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top"/>
          </w:tcPr>
          <w:p w14:paraId="14CA4C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pPr>
          </w:p>
        </w:tc>
        <w:tc>
          <w:tcPr>
            <w:tcW w:w="2495" w:type="dxa"/>
            <w:gridSpan w:val="4"/>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B3E4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报名手续</w:t>
            </w:r>
          </w:p>
        </w:tc>
        <w:tc>
          <w:tcPr>
            <w:tcW w:w="585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82184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一、意向承租方应按本公告要求提交相关报名材料，至江苏苏体实业发展有限公司提出承租申请。接受报名时间：9:30—17:30，节假日除外。</w:t>
            </w:r>
          </w:p>
          <w:p w14:paraId="24C736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二、意向承租方须报送材料（所有材料加盖公章，书面材料递至南京市广州路191号五环大厦16楼江苏苏体实业发展有限公司综合部，扫描件发送至850185371@qq.com邮箱，未能提供书面材料及扫描件的，报名无效）。</w:t>
            </w:r>
          </w:p>
          <w:p w14:paraId="721865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b w:val="0"/>
                <w:bCs w:val="0"/>
              </w:rPr>
            </w:pPr>
            <w:r>
              <w:rPr>
                <w:rFonts w:hint="eastAsia" w:ascii="方正仿宋_GBK" w:hAnsi="方正仿宋_GBK" w:eastAsia="方正仿宋_GBK" w:cs="方正仿宋_GBK"/>
                <w:i w:val="0"/>
                <w:iCs w:val="0"/>
                <w:caps w:val="0"/>
                <w:color w:val="333333"/>
                <w:spacing w:val="0"/>
                <w:kern w:val="0"/>
                <w:sz w:val="24"/>
                <w:szCs w:val="24"/>
                <w:lang w:val="en-US" w:eastAsia="zh-CN" w:bidi="ar"/>
              </w:rPr>
              <w:t>1.《承租承诺函》</w:t>
            </w:r>
            <w:r>
              <w:rPr>
                <w:rFonts w:hint="eastAsia" w:ascii="方正仿宋_GBK" w:hAnsi="方正仿宋_GBK" w:eastAsia="方正仿宋_GBK" w:cs="方正仿宋_GBK"/>
                <w:b w:val="0"/>
                <w:bCs w:val="0"/>
                <w:i w:val="0"/>
                <w:iCs w:val="0"/>
                <w:caps w:val="0"/>
                <w:color w:val="333333"/>
                <w:spacing w:val="0"/>
                <w:kern w:val="0"/>
                <w:sz w:val="24"/>
                <w:szCs w:val="24"/>
                <w:lang w:val="en-US" w:eastAsia="zh-CN" w:bidi="ar"/>
              </w:rPr>
              <w:t>；</w:t>
            </w:r>
          </w:p>
          <w:p w14:paraId="60E6C0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2.企业法人营业执照复印件；</w:t>
            </w:r>
          </w:p>
          <w:p w14:paraId="624F8C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3.法定代表人身份证复印件，授权委托书原件，受托人身份证复印件，银行开户信息；</w:t>
            </w:r>
          </w:p>
          <w:p w14:paraId="06BE34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4.出租方要求提供的其他相关材料。</w:t>
            </w:r>
          </w:p>
        </w:tc>
      </w:tr>
      <w:tr w14:paraId="62890D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539"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6EA18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pPr>
            <w:r>
              <w:rPr>
                <w:rFonts w:hint="eastAsia" w:ascii="方正仿宋_GBK" w:hAnsi="方正仿宋_GBK" w:eastAsia="方正仿宋_GBK" w:cs="方正仿宋_GBK"/>
                <w:i w:val="0"/>
                <w:iCs w:val="0"/>
                <w:caps w:val="0"/>
                <w:color w:val="333333"/>
                <w:spacing w:val="0"/>
                <w:kern w:val="0"/>
                <w:sz w:val="24"/>
                <w:szCs w:val="24"/>
                <w:lang w:val="en-US" w:eastAsia="zh-CN" w:bidi="ar"/>
              </w:rPr>
              <w:t>特别告知</w:t>
            </w:r>
          </w:p>
        </w:tc>
        <w:tc>
          <w:tcPr>
            <w:tcW w:w="7528" w:type="dxa"/>
            <w:gridSpan w:val="8"/>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top"/>
          </w:tcPr>
          <w:p w14:paraId="28BDFC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一、出租房屋面积以现状为准；</w:t>
            </w:r>
          </w:p>
          <w:p w14:paraId="5B65A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二、意向承租方在申请承租前可自行联系出租方至出租房屋现场仔细查看，并了解出租房屋实际情况；</w:t>
            </w:r>
          </w:p>
          <w:p w14:paraId="52A832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三、租赁期以实际签约时间计算；</w:t>
            </w:r>
          </w:p>
          <w:p w14:paraId="21EF0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四、承租方不得擅自进行转租、分租，如承租方擅自转租、分租的，承租方应承担由此造成的一切损失，出租方有权提前解除合同、收回房屋，承租方须承担违约责任；承租方不得在租赁区域内加装二层，不得更改租赁房屋的结构、承重负荷，承租方在装修施工过程中自行承担一切后果与损失。</w:t>
            </w:r>
          </w:p>
          <w:p w14:paraId="76739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五、出租房屋权属清晰，承租方应接受房屋现状，成交后，不能以该现状影响其工商、消防、安检等手续办理，致使不能按预想方案使用房屋为由，要求解除、变更《房屋租赁合同》或要求出租方承担违约赔偿责任；</w:t>
            </w:r>
          </w:p>
          <w:p w14:paraId="07B2F6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六、承租方如对出租房屋进行改造，须经出租方书面同意，费用由承租方自行承担，且装修改造须与租期相适应；</w:t>
            </w:r>
          </w:p>
          <w:p w14:paraId="1BD27C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七、承租方对出租房屋使用须符合国家法律法规和当地规章的规定；本公告仅为本次出租的简要说明，意向承租方在做出申请承租决定之前，应仔细阅读出租方提供的资料。</w:t>
            </w:r>
          </w:p>
        </w:tc>
      </w:tr>
      <w:tr w14:paraId="74F308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17" w:type="dxa"/>
        </w:trPr>
        <w:tc>
          <w:tcPr>
            <w:tcW w:w="1550" w:type="dxa"/>
            <w:gridSpan w:val="3"/>
            <w:vMerge w:val="restart"/>
            <w:tcBorders>
              <w:top w:val="outset" w:color="auto" w:sz="6" w:space="0"/>
              <w:left w:val="outset" w:color="auto" w:sz="6" w:space="0"/>
              <w:right w:val="outset" w:color="auto" w:sz="6" w:space="0"/>
            </w:tcBorders>
            <w:shd w:val="clear" w:color="auto" w:fill="FFFFFF"/>
            <w:tcMar>
              <w:top w:w="0" w:type="dxa"/>
              <w:left w:w="0" w:type="dxa"/>
              <w:bottom w:w="0" w:type="dxa"/>
              <w:right w:w="0" w:type="dxa"/>
            </w:tcMar>
            <w:vAlign w:val="center"/>
          </w:tcPr>
          <w:p w14:paraId="79E6AC24">
            <w:pPr>
              <w:keepNext w:val="0"/>
              <w:keepLines w:val="0"/>
              <w:widowControl/>
              <w:suppressLineNumbers w:val="0"/>
              <w:spacing w:before="0" w:beforeAutospacing="0" w:after="0" w:afterAutospacing="0" w:line="27" w:lineRule="atLeast"/>
              <w:ind w:left="0" w:right="0"/>
              <w:jc w:val="center"/>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联系方式</w:t>
            </w:r>
          </w:p>
        </w:tc>
        <w:tc>
          <w:tcPr>
            <w:tcW w:w="11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5C7F0CA">
            <w:pPr>
              <w:keepNext w:val="0"/>
              <w:keepLines w:val="0"/>
              <w:widowControl/>
              <w:suppressLineNumbers w:val="0"/>
              <w:spacing w:before="0" w:beforeAutospacing="0" w:after="0" w:afterAutospacing="0" w:line="27" w:lineRule="atLeast"/>
              <w:ind w:left="0" w:right="0"/>
              <w:jc w:val="center"/>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联系人</w:t>
            </w:r>
          </w:p>
        </w:tc>
        <w:tc>
          <w:tcPr>
            <w:tcW w:w="6383" w:type="dxa"/>
            <w:gridSpan w:val="5"/>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EE1E98D">
            <w:pPr>
              <w:keepNext w:val="0"/>
              <w:keepLines w:val="0"/>
              <w:widowControl/>
              <w:suppressLineNumbers w:val="0"/>
              <w:spacing w:before="0" w:beforeAutospacing="0" w:after="0" w:afterAutospacing="0" w:line="27" w:lineRule="atLeast"/>
              <w:ind w:left="0" w:right="0"/>
              <w:jc w:val="left"/>
              <w:rPr>
                <w:rFonts w:hint="default" w:ascii="方正仿宋_GBK" w:hAnsi="方正仿宋_GBK" w:eastAsia="方正仿宋_GBK" w:cs="方正仿宋_GBK"/>
                <w:lang w:val="en-US"/>
              </w:rPr>
            </w:pPr>
            <w:r>
              <w:rPr>
                <w:rFonts w:hint="eastAsia" w:ascii="方正仿宋_GBK" w:hAnsi="方正仿宋_GBK" w:eastAsia="方正仿宋_GBK" w:cs="方正仿宋_GBK"/>
                <w:i w:val="0"/>
                <w:iCs w:val="0"/>
                <w:caps w:val="0"/>
                <w:color w:val="333333"/>
                <w:spacing w:val="0"/>
                <w:kern w:val="0"/>
                <w:sz w:val="24"/>
                <w:szCs w:val="24"/>
                <w:lang w:val="en-US" w:eastAsia="zh-CN" w:bidi="ar"/>
              </w:rPr>
              <w:t>刘新新</w:t>
            </w:r>
          </w:p>
        </w:tc>
      </w:tr>
      <w:tr w14:paraId="435CEC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17" w:type="dxa"/>
        </w:trPr>
        <w:tc>
          <w:tcPr>
            <w:tcW w:w="1550" w:type="dxa"/>
            <w:gridSpan w:val="3"/>
            <w:vMerge w:val="continue"/>
            <w:tcBorders>
              <w:left w:val="outset" w:color="auto" w:sz="6" w:space="0"/>
              <w:right w:val="outset" w:color="auto" w:sz="6" w:space="0"/>
            </w:tcBorders>
            <w:shd w:val="clear" w:color="auto" w:fill="FFFFFF"/>
            <w:tcMar>
              <w:top w:w="0" w:type="dxa"/>
              <w:left w:w="0" w:type="dxa"/>
              <w:bottom w:w="0" w:type="dxa"/>
              <w:right w:w="0" w:type="dxa"/>
            </w:tcMar>
            <w:vAlign w:val="center"/>
          </w:tcPr>
          <w:p w14:paraId="69768FC1">
            <w:pPr>
              <w:keepNext w:val="0"/>
              <w:keepLines w:val="0"/>
              <w:widowControl/>
              <w:suppressLineNumbers w:val="0"/>
              <w:spacing w:before="0" w:beforeAutospacing="0" w:after="0" w:afterAutospacing="0" w:line="27" w:lineRule="atLeast"/>
              <w:ind w:left="0" w:right="0"/>
              <w:jc w:val="center"/>
              <w:rPr>
                <w:rFonts w:hint="eastAsia" w:ascii="方正仿宋_GBK" w:hAnsi="方正仿宋_GBK" w:eastAsia="方正仿宋_GBK" w:cs="方正仿宋_GBK"/>
              </w:rPr>
            </w:pPr>
          </w:p>
        </w:tc>
        <w:tc>
          <w:tcPr>
            <w:tcW w:w="11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D6ADF45">
            <w:pPr>
              <w:keepNext w:val="0"/>
              <w:keepLines w:val="0"/>
              <w:widowControl/>
              <w:suppressLineNumbers w:val="0"/>
              <w:spacing w:before="0" w:beforeAutospacing="0" w:after="0" w:afterAutospacing="0" w:line="27" w:lineRule="atLeast"/>
              <w:ind w:left="0" w:right="0"/>
              <w:jc w:val="center"/>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联系电话</w:t>
            </w:r>
          </w:p>
        </w:tc>
        <w:tc>
          <w:tcPr>
            <w:tcW w:w="6383" w:type="dxa"/>
            <w:gridSpan w:val="5"/>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C6778D">
            <w:pPr>
              <w:keepNext w:val="0"/>
              <w:keepLines w:val="0"/>
              <w:widowControl/>
              <w:suppressLineNumbers w:val="0"/>
              <w:spacing w:before="0" w:beforeAutospacing="0" w:after="0" w:afterAutospacing="0" w:line="27" w:lineRule="atLeast"/>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025-51889289</w:t>
            </w:r>
          </w:p>
        </w:tc>
      </w:tr>
      <w:tr w14:paraId="27F4F8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17" w:type="dxa"/>
        </w:trPr>
        <w:tc>
          <w:tcPr>
            <w:tcW w:w="1550" w:type="dxa"/>
            <w:gridSpan w:val="3"/>
            <w:vMerge w:val="continue"/>
            <w:tcBorders>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8BBD038">
            <w:pPr>
              <w:keepNext w:val="0"/>
              <w:keepLines w:val="0"/>
              <w:widowControl/>
              <w:suppressLineNumbers w:val="0"/>
              <w:spacing w:before="0" w:beforeAutospacing="0" w:after="0" w:afterAutospacing="0" w:line="27" w:lineRule="atLeast"/>
              <w:ind w:left="0" w:right="0"/>
              <w:jc w:val="center"/>
              <w:rPr>
                <w:rFonts w:hint="eastAsia" w:ascii="方正仿宋_GBK" w:hAnsi="方正仿宋_GBK" w:eastAsia="方正仿宋_GBK" w:cs="方正仿宋_GBK"/>
              </w:rPr>
            </w:pPr>
          </w:p>
        </w:tc>
        <w:tc>
          <w:tcPr>
            <w:tcW w:w="11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0E9BC56">
            <w:pPr>
              <w:keepNext w:val="0"/>
              <w:keepLines w:val="0"/>
              <w:widowControl/>
              <w:suppressLineNumbers w:val="0"/>
              <w:spacing w:before="0" w:beforeAutospacing="0" w:after="0" w:afterAutospacing="0" w:line="27" w:lineRule="atLeast"/>
              <w:ind w:left="0" w:right="0"/>
              <w:jc w:val="center"/>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联系地址</w:t>
            </w:r>
          </w:p>
        </w:tc>
        <w:tc>
          <w:tcPr>
            <w:tcW w:w="6383" w:type="dxa"/>
            <w:gridSpan w:val="5"/>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9FE8E5">
            <w:pPr>
              <w:keepNext w:val="0"/>
              <w:keepLines w:val="0"/>
              <w:widowControl/>
              <w:suppressLineNumbers w:val="0"/>
              <w:spacing w:before="0" w:beforeAutospacing="0" w:after="0" w:afterAutospacing="0" w:line="27" w:lineRule="atLeast"/>
              <w:ind w:left="0" w:right="0"/>
              <w:jc w:val="left"/>
              <w:rPr>
                <w:rFonts w:hint="default" w:ascii="方正仿宋_GBK" w:hAnsi="方正仿宋_GBK" w:eastAsia="方正仿宋_GBK" w:cs="方正仿宋_GBK"/>
                <w:lang w:val="en-US"/>
              </w:rPr>
            </w:pPr>
            <w:r>
              <w:rPr>
                <w:rFonts w:hint="eastAsia" w:ascii="方正仿宋_GBK" w:hAnsi="方正仿宋_GBK" w:eastAsia="方正仿宋_GBK" w:cs="方正仿宋_GBK"/>
                <w:i w:val="0"/>
                <w:iCs w:val="0"/>
                <w:caps w:val="0"/>
                <w:color w:val="333333"/>
                <w:spacing w:val="0"/>
                <w:kern w:val="0"/>
                <w:sz w:val="24"/>
                <w:szCs w:val="24"/>
                <w:lang w:val="en-US" w:eastAsia="zh-CN" w:bidi="ar"/>
              </w:rPr>
              <w:t>南京广州路191号五环大厦16楼</w:t>
            </w:r>
          </w:p>
        </w:tc>
      </w:tr>
    </w:tbl>
    <w:p w14:paraId="47E5290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ZTdkYThjNzMzMWY4MjVmNDhkYjY2ZTY5ZWFhNGQifQ=="/>
  </w:docVars>
  <w:rsids>
    <w:rsidRoot w:val="35081E03"/>
    <w:rsid w:val="35081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2024-09-13T10:11:00Z</dcterms:created>
  <dc:creator>苏体实业公司</dc:creator>
  <cp:lastModifiedBy>苏体实业公司</cp:lastModifiedBy>
  <dcterms:modified xsi:type="dcterms:W3CDTF">2024-09-13T10:12:25Z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33F1717314864380BFA17611B5E979A6_11</vt:lpwstr>
  </property>
</Properties>
</file>